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E325" w14:textId="77777777" w:rsidR="00075DE0" w:rsidRPr="00B0092C" w:rsidRDefault="00075DE0" w:rsidP="00075DE0">
      <w:pPr>
        <w:pStyle w:val="Default"/>
        <w:rPr>
          <w:color w:val="auto"/>
        </w:rPr>
      </w:pPr>
    </w:p>
    <w:p w14:paraId="0980BA7E" w14:textId="341C073E" w:rsidR="00F6618D" w:rsidRPr="00B0092C" w:rsidRDefault="00075DE0" w:rsidP="00B0092C">
      <w:pPr>
        <w:jc w:val="both"/>
        <w:rPr>
          <w:rFonts w:ascii="Times New Roman" w:hAnsi="Times New Roman" w:cs="Times New Roman"/>
          <w:b/>
          <w:bCs/>
          <w:sz w:val="24"/>
          <w:szCs w:val="24"/>
        </w:rPr>
      </w:pPr>
      <w:r w:rsidRPr="00B0092C">
        <w:rPr>
          <w:rFonts w:ascii="Times New Roman" w:hAnsi="Times New Roman" w:cs="Times New Roman"/>
          <w:b/>
          <w:bCs/>
          <w:sz w:val="24"/>
          <w:szCs w:val="24"/>
        </w:rPr>
        <w:t xml:space="preserve">Extras din </w:t>
      </w:r>
      <w:r w:rsidRPr="00B0092C">
        <w:rPr>
          <w:rFonts w:ascii="Times New Roman" w:hAnsi="Times New Roman" w:cs="Times New Roman"/>
          <w:b/>
          <w:bCs/>
          <w:iCs/>
          <w:sz w:val="24"/>
          <w:szCs w:val="24"/>
        </w:rPr>
        <w:t>Metodologia-cadru privind mobilitatea personalului didactic de predare din învăţământul preuniversitar în anul şcolar 202</w:t>
      </w:r>
      <w:r w:rsidR="00354F76">
        <w:rPr>
          <w:rFonts w:ascii="Times New Roman" w:hAnsi="Times New Roman" w:cs="Times New Roman"/>
          <w:b/>
          <w:bCs/>
          <w:iCs/>
          <w:sz w:val="24"/>
          <w:szCs w:val="24"/>
        </w:rPr>
        <w:t>5</w:t>
      </w:r>
      <w:r w:rsidRPr="00B0092C">
        <w:rPr>
          <w:rFonts w:ascii="Times New Roman" w:hAnsi="Times New Roman" w:cs="Times New Roman"/>
          <w:b/>
          <w:bCs/>
          <w:iCs/>
          <w:sz w:val="24"/>
          <w:szCs w:val="24"/>
        </w:rPr>
        <w:t>-202</w:t>
      </w:r>
      <w:r w:rsidR="00354F76">
        <w:rPr>
          <w:rFonts w:ascii="Times New Roman" w:hAnsi="Times New Roman" w:cs="Times New Roman"/>
          <w:b/>
          <w:bCs/>
          <w:iCs/>
          <w:sz w:val="24"/>
          <w:szCs w:val="24"/>
        </w:rPr>
        <w:t>6</w:t>
      </w:r>
      <w:r w:rsidRPr="00B0092C">
        <w:rPr>
          <w:rFonts w:ascii="Times New Roman" w:hAnsi="Times New Roman" w:cs="Times New Roman"/>
          <w:b/>
          <w:bCs/>
          <w:sz w:val="24"/>
          <w:szCs w:val="24"/>
        </w:rPr>
        <w:t xml:space="preserve">, aprobată prin O.M.E. nr. </w:t>
      </w:r>
      <w:r w:rsidR="00354F76">
        <w:rPr>
          <w:rFonts w:ascii="Times New Roman" w:hAnsi="Times New Roman" w:cs="Times New Roman"/>
          <w:b/>
          <w:bCs/>
          <w:sz w:val="24"/>
          <w:szCs w:val="24"/>
        </w:rPr>
        <w:t>7495</w:t>
      </w:r>
      <w:r w:rsidR="00B0092C" w:rsidRPr="00B0092C">
        <w:rPr>
          <w:rFonts w:ascii="Times New Roman" w:hAnsi="Times New Roman" w:cs="Times New Roman"/>
          <w:b/>
          <w:bCs/>
          <w:sz w:val="24"/>
          <w:szCs w:val="24"/>
        </w:rPr>
        <w:t>/202</w:t>
      </w:r>
      <w:r w:rsidR="00354F76">
        <w:rPr>
          <w:rFonts w:ascii="Times New Roman" w:hAnsi="Times New Roman" w:cs="Times New Roman"/>
          <w:b/>
          <w:bCs/>
          <w:sz w:val="24"/>
          <w:szCs w:val="24"/>
        </w:rPr>
        <w:t>4</w:t>
      </w:r>
    </w:p>
    <w:p w14:paraId="2A7F2228" w14:textId="77777777" w:rsidR="00201741" w:rsidRPr="00B0092C" w:rsidRDefault="00201741" w:rsidP="00B0092C">
      <w:pPr>
        <w:pStyle w:val="Default"/>
        <w:jc w:val="both"/>
        <w:rPr>
          <w:color w:val="auto"/>
          <w:spacing w:val="-16"/>
        </w:rPr>
      </w:pPr>
    </w:p>
    <w:p w14:paraId="6A4E1CB7" w14:textId="77777777" w:rsidR="00B0092C" w:rsidRPr="00B0092C" w:rsidRDefault="00B0092C" w:rsidP="00B0092C">
      <w:pPr>
        <w:pStyle w:val="Default"/>
        <w:jc w:val="both"/>
        <w:rPr>
          <w:color w:val="auto"/>
        </w:rPr>
      </w:pPr>
      <w:r w:rsidRPr="00B0092C">
        <w:rPr>
          <w:color w:val="auto"/>
          <w:spacing w:val="-16"/>
        </w:rPr>
        <w:t xml:space="preserve"> </w:t>
      </w:r>
      <w:r w:rsidRPr="00B0092C">
        <w:rPr>
          <w:color w:val="auto"/>
        </w:rPr>
        <w:t>Art. 4 (1) Etapele de mobilitate a personalului didactic de predare din învățământul preuniversitar și activitățile aferente acestora se organizează conform prezentei Metodologii şi sunt, în ordinea în care se desfăşoară, următoarele:</w:t>
      </w:r>
    </w:p>
    <w:p w14:paraId="51B07D8F" w14:textId="77777777" w:rsidR="00B0092C" w:rsidRPr="00B0092C" w:rsidRDefault="00B0092C" w:rsidP="00B0092C">
      <w:pPr>
        <w:pStyle w:val="sartttl"/>
        <w:jc w:val="both"/>
        <w:rPr>
          <w:rFonts w:ascii="Times New Roman" w:hAnsi="Times New Roman"/>
          <w:color w:val="auto"/>
          <w:sz w:val="24"/>
          <w:szCs w:val="24"/>
          <w:shd w:val="clear" w:color="auto" w:fill="FFFFFF"/>
        </w:rPr>
      </w:pPr>
      <w:r w:rsidRPr="00B0092C">
        <w:rPr>
          <w:rFonts w:ascii="Times New Roman" w:eastAsiaTheme="minorEastAsia" w:hAnsi="Times New Roman"/>
          <w:color w:val="auto"/>
          <w:sz w:val="24"/>
          <w:szCs w:val="24"/>
          <w:lang w:val="en-US" w:eastAsia="en-US"/>
        </w:rPr>
        <w:t>……………………………………………………………………………………………………</w:t>
      </w:r>
    </w:p>
    <w:p w14:paraId="50132AD3" w14:textId="4C0A01BC" w:rsidR="0043453F" w:rsidRPr="0043453F" w:rsidRDefault="0043453F" w:rsidP="0043453F">
      <w:pPr>
        <w:pStyle w:val="Default"/>
        <w:numPr>
          <w:ilvl w:val="0"/>
          <w:numId w:val="6"/>
        </w:numPr>
        <w:tabs>
          <w:tab w:val="left" w:pos="851"/>
        </w:tabs>
        <w:jc w:val="both"/>
        <w:rPr>
          <w:b/>
          <w:color w:val="auto"/>
          <w:lang w:val="ro-RO"/>
        </w:rPr>
      </w:pPr>
      <w:r w:rsidRPr="0043453F">
        <w:rPr>
          <w:b/>
          <w:color w:val="auto"/>
          <w:lang w:val="ro-RO"/>
        </w:rPr>
        <w:t xml:space="preserve">stabilirea personalului didactic de predare care îndeplinește condiţiile legale de pensionare la data de 1 septembrie 2025 şi a personalului didactic de predare titular din învățământul preuniversitar, care se menţine în activitate ca titular peste vârsta de pensionare în anul şcolar 2025-2026, conform prevederilor </w:t>
      </w:r>
      <w:bookmarkStart w:id="0" w:name="_Hlk146543798"/>
      <w:r w:rsidRPr="0043453F">
        <w:rPr>
          <w:b/>
          <w:color w:val="auto"/>
          <w:lang w:val="ro-RO"/>
        </w:rPr>
        <w:t xml:space="preserve">art. 229 alin. (11) din Legea nr. 198/2023, cu modificările şi completările ulterioare; </w:t>
      </w:r>
      <w:bookmarkEnd w:id="0"/>
    </w:p>
    <w:p w14:paraId="7ACDB20F" w14:textId="2C659508" w:rsidR="00B0092C" w:rsidRPr="00B0092C" w:rsidRDefault="00B0092C" w:rsidP="00B0092C">
      <w:pPr>
        <w:numPr>
          <w:ilvl w:val="0"/>
          <w:numId w:val="5"/>
        </w:numPr>
        <w:autoSpaceDE w:val="0"/>
        <w:autoSpaceDN w:val="0"/>
        <w:adjustRightInd w:val="0"/>
        <w:spacing w:after="0" w:line="240" w:lineRule="auto"/>
        <w:jc w:val="both"/>
        <w:rPr>
          <w:rFonts w:ascii="Times New Roman" w:hAnsi="Times New Roman" w:cs="Times New Roman"/>
          <w:b/>
          <w:sz w:val="24"/>
          <w:szCs w:val="24"/>
          <w:lang w:val="ro-RO"/>
        </w:rPr>
      </w:pPr>
      <w:r w:rsidRPr="00B0092C">
        <w:rPr>
          <w:rFonts w:ascii="Times New Roman" w:hAnsi="Times New Roman" w:cs="Times New Roman"/>
          <w:b/>
          <w:sz w:val="24"/>
          <w:szCs w:val="24"/>
          <w:lang w:val="ro-RO"/>
        </w:rPr>
        <w:t xml:space="preserve"> </w:t>
      </w:r>
    </w:p>
    <w:p w14:paraId="4034E4DB" w14:textId="77777777" w:rsidR="00026B96" w:rsidRPr="006D123F" w:rsidRDefault="00026B96" w:rsidP="00B0092C">
      <w:pPr>
        <w:pStyle w:val="sartttl"/>
        <w:jc w:val="both"/>
        <w:rPr>
          <w:rFonts w:ascii="Times New Roman" w:hAnsi="Times New Roman"/>
          <w:color w:val="auto"/>
          <w:sz w:val="24"/>
          <w:szCs w:val="24"/>
          <w:shd w:val="clear" w:color="auto" w:fill="FFFFFF"/>
          <w:lang w:val="ro-RO"/>
        </w:rPr>
      </w:pPr>
      <w:r w:rsidRPr="006D123F">
        <w:rPr>
          <w:rFonts w:ascii="Times New Roman" w:eastAsiaTheme="minorEastAsia" w:hAnsi="Times New Roman"/>
          <w:color w:val="auto"/>
          <w:sz w:val="24"/>
          <w:szCs w:val="24"/>
          <w:lang w:val="ro-RO" w:eastAsia="en-US"/>
        </w:rPr>
        <w:t>……………………………………………………………………………………………………</w:t>
      </w:r>
    </w:p>
    <w:p w14:paraId="66D93353" w14:textId="77777777" w:rsidR="006D123F" w:rsidRPr="006D123F" w:rsidRDefault="006D123F" w:rsidP="006D123F">
      <w:pPr>
        <w:pStyle w:val="Default"/>
        <w:ind w:firstLine="567"/>
        <w:jc w:val="both"/>
        <w:rPr>
          <w:color w:val="auto"/>
        </w:rPr>
      </w:pPr>
      <w:r w:rsidRPr="006D123F">
        <w:rPr>
          <w:color w:val="auto"/>
        </w:rPr>
        <w:t xml:space="preserve">Art. 31 (1) Personalul didactic de conducere, de îndrumare şi control din învăţământul preuniversitar care îndeplineşte condiţiile legale de pensionare şi care nu solicită pensionarea pe parcursul anului şcolar, poate rămâne în funcţie până la data încheierii anului şcolar, cu informarea consiliului de administraţie al unităţii de învăţământ, respectiv al ISJ/ISMB. </w:t>
      </w:r>
    </w:p>
    <w:p w14:paraId="3592E812" w14:textId="77777777" w:rsidR="006D123F" w:rsidRPr="006D123F" w:rsidRDefault="006D123F" w:rsidP="006D123F">
      <w:pPr>
        <w:pStyle w:val="Default"/>
        <w:ind w:firstLine="567"/>
        <w:jc w:val="both"/>
        <w:rPr>
          <w:color w:val="auto"/>
        </w:rPr>
      </w:pPr>
      <w:r w:rsidRPr="006D123F">
        <w:rPr>
          <w:color w:val="auto"/>
        </w:rPr>
        <w:t>(2) Pentru motive temeinice, pensionarea personalului didactic de predare, de conducere, de îndrumare şi control se poate face şi în timpul anului şcolar, cu aprobarea consiliului de administraţie al unităţii de învăţământ, respectiv cu aprobarea consiliului de administraţie al ISJ/ISMB. Cererea se soluţionează în termen de 30 zile de la data înregistrării acesteia la secretariatul unităţii de învăţământ, respectiv al ISJ/ISMB, prin decizie, care se comunică în termen de 5 zile lucrătoare de la data emiterii. Contestaţiile se adresează la ISJ/ISMB şi se soluţionează conform prevederilor art. 4 alin. (20).</w:t>
      </w:r>
    </w:p>
    <w:p w14:paraId="5FDDCA1C" w14:textId="77777777" w:rsidR="006D123F" w:rsidRPr="006D123F" w:rsidRDefault="006D123F" w:rsidP="006D123F">
      <w:pPr>
        <w:pStyle w:val="Default"/>
        <w:ind w:firstLine="567"/>
        <w:jc w:val="both"/>
        <w:rPr>
          <w:b/>
          <w:bCs/>
          <w:color w:val="auto"/>
        </w:rPr>
      </w:pPr>
      <w:r w:rsidRPr="006D123F">
        <w:rPr>
          <w:b/>
          <w:bCs/>
          <w:color w:val="auto"/>
        </w:rPr>
        <w:t xml:space="preserve">(3) Condiţiile legale de pensionare, luând în calcul limita de vârstă şi stagiul de cotizare, la data de 1 septembrie 2025, sunt: </w:t>
      </w:r>
    </w:p>
    <w:p w14:paraId="5A9F90A0" w14:textId="77777777" w:rsidR="006D123F" w:rsidRPr="006D123F" w:rsidRDefault="006D123F" w:rsidP="006D123F">
      <w:pPr>
        <w:pStyle w:val="Default"/>
        <w:ind w:firstLine="567"/>
        <w:jc w:val="both"/>
        <w:rPr>
          <w:b/>
          <w:bCs/>
          <w:color w:val="auto"/>
        </w:rPr>
      </w:pPr>
      <w:r w:rsidRPr="006D123F">
        <w:rPr>
          <w:b/>
          <w:bCs/>
          <w:color w:val="auto"/>
        </w:rPr>
        <w:t xml:space="preserve">a) pentru femei, vârsta la ieșirea la pensie, 62 de ani şi 5 luni, 33 de ani şi 1 lună stagiul complet de cotizare, respectiv 15 ani stagiul minim de cotizare; </w:t>
      </w:r>
    </w:p>
    <w:p w14:paraId="367C3F04" w14:textId="77777777" w:rsidR="006D123F" w:rsidRPr="006D123F" w:rsidRDefault="006D123F" w:rsidP="006D123F">
      <w:pPr>
        <w:pStyle w:val="Default"/>
        <w:ind w:firstLine="567"/>
        <w:jc w:val="both"/>
        <w:rPr>
          <w:b/>
          <w:bCs/>
          <w:color w:val="auto"/>
        </w:rPr>
      </w:pPr>
      <w:r w:rsidRPr="006D123F">
        <w:rPr>
          <w:b/>
          <w:bCs/>
          <w:color w:val="auto"/>
        </w:rPr>
        <w:t xml:space="preserve">b) pentru bărbați, vârsta la ieșirea la pensie, 65 de ani, 35 de ani stagiul complet de cotizare, respectiv 15 ani stagiul minim de cotizare. </w:t>
      </w:r>
    </w:p>
    <w:p w14:paraId="578A3DB7" w14:textId="77777777" w:rsidR="006D123F" w:rsidRPr="006D123F" w:rsidRDefault="006D123F" w:rsidP="006D123F">
      <w:pPr>
        <w:pStyle w:val="Default"/>
        <w:ind w:firstLine="567"/>
        <w:jc w:val="both"/>
        <w:rPr>
          <w:b/>
          <w:bCs/>
          <w:color w:val="auto"/>
        </w:rPr>
      </w:pPr>
      <w:r w:rsidRPr="006D123F">
        <w:rPr>
          <w:b/>
          <w:bCs/>
          <w:color w:val="auto"/>
        </w:rPr>
        <w:t>(4) Cadrele didactice titulare, femei, care îndeplinesc condiţiile prevăzute la alin. (3) lit. a), precum şi cadrele didactice, femei, care au avut calitatea de personal didactic de predare titular, reîncadrate în funcţia de personal didactic de predare în anul şcolar 2024-2025 sub condiția suspendării pensiei pe durata reîncadrării, care nu împlinesc 65 de ani până la data de 1 septembrie 2025, pot opta, în scris, fie pentru menţinerea în activitate ca titular până la împlinirea vârstei de 65 de ani, conform prevederilor art. 229 alin. (2) din Legea nr. 198/2023, cu modificările şi completările ulterioare, fie pentru pensionarea începând cu data de 1 septembrie 2025. Opţiunea se adresează, în scris, consiliului de administraţie al unităţii de învăţământ, conform Calendarului. Cadrele didactice titulare, femei, care optează pentru menţinerea în activitate ca titular până la împlinirea vârstei de 65 de ani, beneficiază de toate drepturile personalului didactic titular.</w:t>
      </w:r>
    </w:p>
    <w:p w14:paraId="6D6E7756" w14:textId="33538EEE" w:rsidR="006D123F" w:rsidRPr="006D123F" w:rsidRDefault="006D123F" w:rsidP="006D123F">
      <w:pPr>
        <w:pStyle w:val="Default"/>
        <w:ind w:firstLine="567"/>
        <w:jc w:val="both"/>
        <w:rPr>
          <w:color w:val="auto"/>
        </w:rPr>
      </w:pPr>
      <w:r w:rsidRPr="006D123F">
        <w:rPr>
          <w:color w:val="auto"/>
        </w:rPr>
        <w:t>(5) Personalul didactic de predare titular din învăţământul preuniversitar căruia nu i s-a emis decizia de pensionare şi care până la data de</w:t>
      </w:r>
      <w:r>
        <w:rPr>
          <w:color w:val="auto"/>
        </w:rPr>
        <w:t xml:space="preserve"> </w:t>
      </w:r>
      <w:r w:rsidRPr="006D123F">
        <w:rPr>
          <w:color w:val="auto"/>
        </w:rPr>
        <w:t xml:space="preserve">1 septembrie 2025 nu împlineşte vârsta de 70 </w:t>
      </w:r>
      <w:r w:rsidRPr="006D123F">
        <w:rPr>
          <w:color w:val="auto"/>
        </w:rPr>
        <w:lastRenderedPageBreak/>
        <w:t>de ani, poate fi menţinut în activitate ca titular, în funcţia didactică, la cerere, în anul şcolar                           2025-2026, potrivit prevederilor art. 229 alin. (11) din Legea nr. 198/2023, cu modificările şi completările ulterioare, conform prezentei Metodologii.</w:t>
      </w:r>
    </w:p>
    <w:p w14:paraId="41E500A0" w14:textId="77777777" w:rsidR="006D123F" w:rsidRPr="006D123F" w:rsidRDefault="006D123F" w:rsidP="006D123F">
      <w:pPr>
        <w:pStyle w:val="Default"/>
        <w:ind w:firstLine="567"/>
        <w:jc w:val="both"/>
        <w:rPr>
          <w:color w:val="auto"/>
        </w:rPr>
      </w:pPr>
      <w:r w:rsidRPr="006D123F">
        <w:rPr>
          <w:color w:val="auto"/>
        </w:rPr>
        <w:t xml:space="preserve">(6) Personalul didactic de predare care se încadrează în prevederile alin. (5) se adresează, în scris, consiliilor de administraţie ale unităţilor de învăţământ, până la data prevăzută în Calendar. Profesorii din cadrul CJRAE/CMBRAE și profesorii din centre și cabinete de asistență psihopedagogică/logopedice/pentru furnizarea serviciilor de sprijin se adresează consiliului de administraţie al CJRAE/CMBRAE. Cererile se analizează şi se aprobă în consiliile de administraţie ale unităţilor de învăţământ/CJRAE/CMBRAE, în perioada prevăzută de Calendar, în funcţie de evoluţia demografică la nivel local, de planurile de şcolarizare, de dinamica resurselor umane, de politicile de personal şi de evoluţia planurilor-cadru de învăţământ. </w:t>
      </w:r>
    </w:p>
    <w:p w14:paraId="0955C0A3" w14:textId="77777777" w:rsidR="006D123F" w:rsidRPr="006D123F" w:rsidRDefault="006D123F" w:rsidP="006D123F">
      <w:pPr>
        <w:pStyle w:val="Default"/>
        <w:ind w:firstLine="567"/>
        <w:jc w:val="both"/>
        <w:rPr>
          <w:color w:val="auto"/>
        </w:rPr>
      </w:pPr>
      <w:r w:rsidRPr="006D123F">
        <w:rPr>
          <w:color w:val="auto"/>
        </w:rPr>
        <w:t>(7) La nivelul unităţilor de învăţământ pot fi aprobate numai cererile cadrelor didactice care îndeplinesc cumulativ următoarele condiţii:</w:t>
      </w:r>
    </w:p>
    <w:p w14:paraId="39CBDDC5" w14:textId="77777777" w:rsidR="006D123F" w:rsidRPr="006D123F" w:rsidRDefault="006D123F" w:rsidP="006D123F">
      <w:pPr>
        <w:pStyle w:val="Default"/>
        <w:numPr>
          <w:ilvl w:val="0"/>
          <w:numId w:val="3"/>
        </w:numPr>
        <w:tabs>
          <w:tab w:val="left" w:pos="851"/>
        </w:tabs>
        <w:ind w:left="0" w:firstLine="567"/>
        <w:jc w:val="both"/>
        <w:rPr>
          <w:color w:val="auto"/>
        </w:rPr>
      </w:pPr>
      <w:r w:rsidRPr="006D123F">
        <w:rPr>
          <w:color w:val="auto"/>
        </w:rPr>
        <w:t>se încadrează în prevederile alin. (5);</w:t>
      </w:r>
    </w:p>
    <w:p w14:paraId="5D079D04" w14:textId="77777777" w:rsidR="006D123F" w:rsidRPr="006D123F" w:rsidRDefault="006D123F" w:rsidP="006D123F">
      <w:pPr>
        <w:pStyle w:val="Default"/>
        <w:numPr>
          <w:ilvl w:val="0"/>
          <w:numId w:val="3"/>
        </w:numPr>
        <w:tabs>
          <w:tab w:val="left" w:pos="851"/>
        </w:tabs>
        <w:ind w:left="0" w:firstLine="567"/>
        <w:jc w:val="both"/>
        <w:rPr>
          <w:color w:val="auto"/>
        </w:rPr>
      </w:pPr>
      <w:r w:rsidRPr="006D123F">
        <w:rPr>
          <w:color w:val="auto"/>
        </w:rPr>
        <w:t>posturile didactice/catedrele pe care sunt titulare, conform documentului de numire/transfer/repartizare pe post/catedră, sunt complete şi au viabilitate de cel puţin un an şcolar, luând în considerare şi cererile privind reducerea normei didactice de predare, fără diminuarea salariului, a personalului didactic de predare, conform prevederilor legale în vigoare;</w:t>
      </w:r>
    </w:p>
    <w:p w14:paraId="081F831D" w14:textId="77777777" w:rsidR="006D123F" w:rsidRPr="006D123F" w:rsidRDefault="006D123F" w:rsidP="006D123F">
      <w:pPr>
        <w:pStyle w:val="Default"/>
        <w:numPr>
          <w:ilvl w:val="0"/>
          <w:numId w:val="3"/>
        </w:numPr>
        <w:tabs>
          <w:tab w:val="left" w:pos="851"/>
        </w:tabs>
        <w:ind w:left="0" w:firstLine="567"/>
        <w:jc w:val="both"/>
        <w:rPr>
          <w:color w:val="auto"/>
        </w:rPr>
      </w:pPr>
      <w:r w:rsidRPr="006D123F">
        <w:rPr>
          <w:color w:val="auto"/>
        </w:rPr>
        <w:t>la nivelul unităţii/unităţilor de învăţământ, în care urmează să fie menținute în activitate ca titulare în funcţia didactică, nu există reducere de activitate la catedrele pe care cadrele didactice respective sunt titulare şi nu este necesară completarea/întregirea normei didactice de predare a altor cadre didactice, conform prezentei Metodologii, din unităţile de învăţământ respective cu ore din catedra pe care sunt titulare cadrele didactice care se încadrează în prevederile alin. (5) şi urmează să fie menținute în activitate, ca titular, în funcţia didactică.</w:t>
      </w:r>
    </w:p>
    <w:p w14:paraId="3BF5AF26" w14:textId="77777777" w:rsidR="006D123F" w:rsidRPr="006D123F" w:rsidRDefault="006D123F" w:rsidP="006D123F">
      <w:pPr>
        <w:pStyle w:val="Default"/>
        <w:ind w:firstLine="567"/>
        <w:jc w:val="both"/>
        <w:rPr>
          <w:color w:val="auto"/>
        </w:rPr>
      </w:pPr>
      <w:r w:rsidRPr="006D123F">
        <w:rPr>
          <w:color w:val="auto"/>
        </w:rPr>
        <w:t>(8) Consiliile de administraţie ale unităţilor de învăţământ comunică, la termenul prevăzut în Calendar, ISJ/ISMB şi cadrelor didactice acordul/refuzul motivat privind menţinerea în activitate, ca titular, în funcţia didactică, a personalului didactic de predare care se încadrează în prevederile alin. (5), în anul şcolar 2025-2026. Comisia judeţeană/a municipiului Bucureşti de mobilitate verifică situaţiile transmise de unităţile de învăţământ, întocmeşte listele finale cuprinzând cadrele didactice care îndeplinesc cumulativ condiţiile prevăzute la alin. (7) şi solicită menţinerea în activitate, ca titular, în funcţia didactică, în anul şcolar 2025-2026 şi le supune spre analiză comisiei paritare de la nivelul ISJ/ISMB, însoţite de lista cadrelor didactice titulare detaşate în interesul învăţământului pentru nesoluţionarea restrângerii de activitate. Comisia paritară constituită la nivelul ISJ/ISMB trebuie să ţină seama dacă, după menţinerea în activitate, ca titular, în funcţia didactică a cadrelor didactice care îndeplinesc cumulativ condiţiile prevăzute la alin. (7), la nivelul judeţului/municipiului Bucureşti, se asigură numărul necesar de posturi didactice/catedre vacante în vederea soluţionării restrângerilor de activitate cadrelor didactice titulare detaşate în interesul învăţământului pentru nesoluţionarea restrângerii de activitate.</w:t>
      </w:r>
    </w:p>
    <w:p w14:paraId="5B4D26CF" w14:textId="77777777" w:rsidR="006D123F" w:rsidRPr="006D123F" w:rsidRDefault="006D123F" w:rsidP="006D123F">
      <w:pPr>
        <w:pStyle w:val="Default"/>
        <w:ind w:firstLine="567"/>
        <w:jc w:val="both"/>
        <w:rPr>
          <w:color w:val="auto"/>
        </w:rPr>
      </w:pPr>
      <w:r w:rsidRPr="006D123F">
        <w:rPr>
          <w:color w:val="auto"/>
        </w:rPr>
        <w:t xml:space="preserve">(9) Listele finale, validate de consiliul de administraţie al ISJ/ISMB în baza hotărârii comisiei paritare de la nivelul ISJ/ISMB, se afişează pe pagina web a ISJ/ISMB la termenul prevăzut în Calendar. Pe pagina web a ISJ/ISMB se afişează şi listele care cuprind cadrele didactice ale căror cereri de menţinere în activitate ca titular, în funcţia didactică, în anul şcolar 2025-2026, au fost respinse la nivelul unităţilor de învăţământ sau la ISJ/ISMB cu precizarea motivului pentru care au fost respinse.    </w:t>
      </w:r>
    </w:p>
    <w:p w14:paraId="39D6C384" w14:textId="77777777" w:rsidR="006D123F" w:rsidRPr="006D123F" w:rsidRDefault="006D123F" w:rsidP="006D123F">
      <w:pPr>
        <w:pStyle w:val="Default"/>
        <w:ind w:firstLine="567"/>
        <w:jc w:val="both"/>
        <w:rPr>
          <w:color w:val="auto"/>
        </w:rPr>
      </w:pPr>
      <w:r w:rsidRPr="006D123F">
        <w:rPr>
          <w:color w:val="auto"/>
        </w:rPr>
        <w:lastRenderedPageBreak/>
        <w:t xml:space="preserve">(10) Contestaţiile se depun, în scris, la ISJ/ISMB, în perioada prevăzută în Calendar. Contestaţia se soluţionează conform prevederilor art. 4 alin. (20). </w:t>
      </w:r>
    </w:p>
    <w:p w14:paraId="7F178381" w14:textId="77777777" w:rsidR="006D123F" w:rsidRPr="006D123F" w:rsidRDefault="006D123F" w:rsidP="006D123F">
      <w:pPr>
        <w:pStyle w:val="Default"/>
        <w:ind w:firstLine="567"/>
        <w:jc w:val="both"/>
        <w:rPr>
          <w:color w:val="auto"/>
        </w:rPr>
      </w:pPr>
      <w:r w:rsidRPr="006D123F">
        <w:rPr>
          <w:color w:val="auto"/>
        </w:rPr>
        <w:t xml:space="preserve">(11) După soluţionarea contestaţiilor de către consiliul de administraţie al ISJ/ISMB, inspectorul şcolar general al ISJ/ISMB emite decizia privind menţinerea în activitate ca titular a personalului didactic de predare, care îndeplineşte cumulativ condiţiile prevăzute la alin. (7), în funcţia didactică în anul şcolar 2025-2026. În baza deciziei semnate de inspectorul şcolar general al ISJ/ISMB, directorul/directorii unităţii/unităţilor de învăţământ încheie actul adițional la contractul individual de muncă încheiat pe perioadă nedeterminată al cadrului didactic care a fost menţinut ca titular în funcţia didactică în anul şcolar 2025-2026.  </w:t>
      </w:r>
    </w:p>
    <w:p w14:paraId="441CE2ED" w14:textId="77777777" w:rsidR="006D123F" w:rsidRPr="006D123F" w:rsidRDefault="006D123F" w:rsidP="006D123F">
      <w:pPr>
        <w:pStyle w:val="Default"/>
        <w:ind w:firstLine="567"/>
        <w:jc w:val="both"/>
        <w:rPr>
          <w:color w:val="auto"/>
        </w:rPr>
      </w:pPr>
      <w:r w:rsidRPr="006D123F">
        <w:rPr>
          <w:color w:val="auto"/>
        </w:rPr>
        <w:t>(12) Personalul didactic titular pentru care nu s-a aprobat menţinerea în funcţia didactică, la cerere, ca titular, peste vârsta de pensionare, se pensionează la data încheierii anului şcolar.</w:t>
      </w:r>
    </w:p>
    <w:p w14:paraId="233A69B4" w14:textId="77777777" w:rsidR="006D123F" w:rsidRPr="006D123F" w:rsidRDefault="006D123F" w:rsidP="006D123F">
      <w:pPr>
        <w:pStyle w:val="Default"/>
        <w:ind w:firstLine="567"/>
        <w:jc w:val="both"/>
        <w:rPr>
          <w:color w:val="auto"/>
        </w:rPr>
      </w:pPr>
      <w:r w:rsidRPr="006D123F">
        <w:rPr>
          <w:color w:val="auto"/>
        </w:rPr>
        <w:t xml:space="preserve">(13) În condițiile în care, până la data de 1 septembrie 2025, se constată că, din cauza reducerii numărului de ore la o anumită disciplină, nu mai este îndeplinită condiția de la alin. (7) lit. b) sau lit. c), inspectorul şcolar general al ISJ/ISMB revocă decizia emisă conform alin. (11). </w:t>
      </w:r>
    </w:p>
    <w:p w14:paraId="0811298B" w14:textId="12F5DC6F" w:rsidR="00026B96" w:rsidRPr="006D123F" w:rsidRDefault="006D123F" w:rsidP="006D123F">
      <w:pPr>
        <w:ind w:firstLine="567"/>
        <w:jc w:val="both"/>
        <w:rPr>
          <w:rFonts w:ascii="Times New Roman" w:hAnsi="Times New Roman" w:cs="Times New Roman"/>
          <w:sz w:val="24"/>
          <w:szCs w:val="24"/>
        </w:rPr>
      </w:pPr>
      <w:r w:rsidRPr="006D123F">
        <w:rPr>
          <w:rFonts w:ascii="Times New Roman" w:hAnsi="Times New Roman" w:cs="Times New Roman"/>
          <w:sz w:val="24"/>
          <w:szCs w:val="24"/>
        </w:rPr>
        <w:t>(14) În situaţia reorganizării unei unităţi de învăţământ cu personalitate juridică, prin divizare sau fuziune, cererile cadrelor didactice care se încadrează în prevederile alin. (5) şi solicită menținerea în activitate ca titular în funcţia didactică în anul şcolar 2025-2026 se analizează de comisia numită prin decizia inspectorului şcolar general al ISJ/ISMB, conform art. 30 alin. (1), după aplicarea procedurilor prevăzute la art. 30 alin. (2)-(4).</w:t>
      </w:r>
    </w:p>
    <w:sectPr w:rsidR="00026B96" w:rsidRPr="006D123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F86D" w14:textId="77777777" w:rsidR="00C73027" w:rsidRDefault="00C73027" w:rsidP="008708BC">
      <w:pPr>
        <w:spacing w:after="0" w:line="240" w:lineRule="auto"/>
      </w:pPr>
      <w:r>
        <w:separator/>
      </w:r>
    </w:p>
  </w:endnote>
  <w:endnote w:type="continuationSeparator" w:id="0">
    <w:p w14:paraId="24486C8D" w14:textId="77777777" w:rsidR="00C73027" w:rsidRDefault="00C73027" w:rsidP="0087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A1F4" w14:textId="77777777" w:rsidR="00C73027" w:rsidRDefault="00C73027" w:rsidP="008708BC">
      <w:pPr>
        <w:spacing w:after="0" w:line="240" w:lineRule="auto"/>
      </w:pPr>
      <w:r>
        <w:separator/>
      </w:r>
    </w:p>
  </w:footnote>
  <w:footnote w:type="continuationSeparator" w:id="0">
    <w:p w14:paraId="279C094A" w14:textId="77777777" w:rsidR="00C73027" w:rsidRDefault="00C73027" w:rsidP="00870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B56B" w14:textId="6745CC78" w:rsidR="008708BC" w:rsidRPr="008708BC" w:rsidRDefault="008708BC">
    <w:pPr>
      <w:pStyle w:val="Antet"/>
      <w:rPr>
        <w:rFonts w:ascii="Times New Roman" w:hAnsi="Times New Roman" w:cs="Times New Roman"/>
        <w:b/>
        <w:sz w:val="24"/>
      </w:rPr>
    </w:pPr>
    <w:r w:rsidRPr="008708BC">
      <w:rPr>
        <w:rFonts w:ascii="Times New Roman" w:hAnsi="Times New Roman" w:cs="Times New Roman"/>
        <w:b/>
        <w:spacing w:val="-5"/>
        <w:szCs w:val="20"/>
      </w:rPr>
      <w:t>Stabilirea personalului didactic care îndeplinește condițiile legale de pensionare la data de 01.09.202</w:t>
    </w:r>
    <w:r w:rsidR="00354F76">
      <w:rPr>
        <w:rFonts w:ascii="Times New Roman" w:hAnsi="Times New Roman" w:cs="Times New Roman"/>
        <w:b/>
        <w:spacing w:val="-5"/>
        <w:szCs w:val="20"/>
      </w:rPr>
      <w:t>5</w:t>
    </w:r>
    <w:r w:rsidRPr="008708BC">
      <w:rPr>
        <w:rFonts w:ascii="Times New Roman" w:hAnsi="Times New Roman" w:cs="Times New Roman"/>
        <w:b/>
        <w:spacing w:val="-5"/>
        <w:szCs w:val="20"/>
      </w:rPr>
      <w:t xml:space="preserve"> și se </w:t>
    </w:r>
    <w:r w:rsidRPr="008708BC">
      <w:rPr>
        <w:rFonts w:ascii="Times New Roman" w:hAnsi="Times New Roman" w:cs="Times New Roman"/>
        <w:b/>
        <w:spacing w:val="-6"/>
        <w:szCs w:val="20"/>
      </w:rPr>
      <w:t>menține în activitate ca titular în anul școlar 202</w:t>
    </w:r>
    <w:r w:rsidR="00354F76">
      <w:rPr>
        <w:rFonts w:ascii="Times New Roman" w:hAnsi="Times New Roman" w:cs="Times New Roman"/>
        <w:b/>
        <w:spacing w:val="-6"/>
        <w:szCs w:val="20"/>
      </w:rPr>
      <w:t>5</w:t>
    </w:r>
    <w:r w:rsidRPr="008708BC">
      <w:rPr>
        <w:rFonts w:ascii="Times New Roman" w:hAnsi="Times New Roman" w:cs="Times New Roman"/>
        <w:b/>
        <w:spacing w:val="-6"/>
        <w:szCs w:val="20"/>
      </w:rPr>
      <w:t>-202</w:t>
    </w:r>
    <w:r w:rsidR="00354F76">
      <w:rPr>
        <w:rFonts w:ascii="Times New Roman" w:hAnsi="Times New Roman" w:cs="Times New Roman"/>
        <w:b/>
        <w:spacing w:val="-6"/>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2789AC"/>
    <w:multiLevelType w:val="hybridMultilevel"/>
    <w:tmpl w:val="C41172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A4726"/>
    <w:multiLevelType w:val="hybridMultilevel"/>
    <w:tmpl w:val="F3629106"/>
    <w:lvl w:ilvl="0" w:tplc="05282D08">
      <w:start w:val="6"/>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F785A7E"/>
    <w:multiLevelType w:val="hybridMultilevel"/>
    <w:tmpl w:val="5E822A14"/>
    <w:lvl w:ilvl="0" w:tplc="620017C6">
      <w:start w:val="6"/>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E12F09"/>
    <w:multiLevelType w:val="hybridMultilevel"/>
    <w:tmpl w:val="63EEDE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9309130">
    <w:abstractNumId w:val="4"/>
  </w:num>
  <w:num w:numId="2" w16cid:durableId="686254774">
    <w:abstractNumId w:val="3"/>
  </w:num>
  <w:num w:numId="3" w16cid:durableId="263534324">
    <w:abstractNumId w:val="2"/>
  </w:num>
  <w:num w:numId="4" w16cid:durableId="268975020">
    <w:abstractNumId w:val="0"/>
  </w:num>
  <w:num w:numId="5" w16cid:durableId="1636132910">
    <w:abstractNumId w:val="5"/>
  </w:num>
  <w:num w:numId="6" w16cid:durableId="158235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08BC"/>
    <w:rsid w:val="0000068E"/>
    <w:rsid w:val="00026B96"/>
    <w:rsid w:val="00075DE0"/>
    <w:rsid w:val="00132658"/>
    <w:rsid w:val="001A7EA6"/>
    <w:rsid w:val="00201741"/>
    <w:rsid w:val="00354F76"/>
    <w:rsid w:val="0043453F"/>
    <w:rsid w:val="00556E85"/>
    <w:rsid w:val="006D123F"/>
    <w:rsid w:val="007511EC"/>
    <w:rsid w:val="007F0DBA"/>
    <w:rsid w:val="00802251"/>
    <w:rsid w:val="008708BC"/>
    <w:rsid w:val="00A65D20"/>
    <w:rsid w:val="00B0092C"/>
    <w:rsid w:val="00C73027"/>
    <w:rsid w:val="00D03E4D"/>
    <w:rsid w:val="00F6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B0AD"/>
  <w15:docId w15:val="{CBC121F2-BE85-4AD8-9219-0A9BCA4F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708B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708BC"/>
  </w:style>
  <w:style w:type="paragraph" w:styleId="Subsol">
    <w:name w:val="footer"/>
    <w:basedOn w:val="Normal"/>
    <w:link w:val="SubsolCaracter"/>
    <w:uiPriority w:val="99"/>
    <w:unhideWhenUsed/>
    <w:rsid w:val="008708B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708BC"/>
  </w:style>
  <w:style w:type="paragraph" w:customStyle="1" w:styleId="Default">
    <w:name w:val="Default"/>
    <w:qFormat/>
    <w:rsid w:val="00075D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artttl">
    <w:name w:val="s_art_ttl"/>
    <w:basedOn w:val="Normal"/>
    <w:rsid w:val="00026B96"/>
    <w:pPr>
      <w:spacing w:after="0" w:line="240" w:lineRule="auto"/>
    </w:pPr>
    <w:rPr>
      <w:rFonts w:ascii="Verdana" w:eastAsia="Times New Roman" w:hAnsi="Verdana" w:cs="Times New Roman"/>
      <w:b/>
      <w:bCs/>
      <w:color w:val="24689B"/>
      <w:sz w:val="20"/>
      <w:szCs w:val="20"/>
      <w:lang w:val="en-GB" w:eastAsia="en-GB"/>
    </w:rPr>
  </w:style>
  <w:style w:type="character" w:customStyle="1" w:styleId="salnttl1">
    <w:name w:val="s_aln_ttl1"/>
    <w:basedOn w:val="Fontdeparagrafimplicit"/>
    <w:rsid w:val="00026B96"/>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026B96"/>
    <w:rPr>
      <w:rFonts w:ascii="Verdana" w:hAnsi="Verdana" w:hint="default"/>
      <w:b w:val="0"/>
      <w:bCs w:val="0"/>
      <w:color w:val="000000"/>
      <w:sz w:val="20"/>
      <w:szCs w:val="20"/>
      <w:shd w:val="clear" w:color="auto" w:fill="FFFFFF"/>
    </w:rPr>
  </w:style>
  <w:style w:type="character" w:customStyle="1" w:styleId="slitttl1">
    <w:name w:val="s_lit_ttl1"/>
    <w:basedOn w:val="Fontdeparagrafimplicit"/>
    <w:rsid w:val="00026B9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026B96"/>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026B96"/>
    <w:rPr>
      <w:rFonts w:ascii="Verdana" w:hAnsi="Verdana" w:hint="default"/>
      <w:b w:val="0"/>
      <w:bCs w:val="0"/>
      <w:color w:val="006400"/>
      <w:sz w:val="20"/>
      <w:szCs w:val="20"/>
      <w:u w:val="single"/>
      <w:shd w:val="clear" w:color="auto" w:fill="FFFFFF"/>
    </w:rPr>
  </w:style>
  <w:style w:type="paragraph" w:styleId="Listparagraf">
    <w:name w:val="List Paragraph"/>
    <w:basedOn w:val="Normal"/>
    <w:uiPriority w:val="34"/>
    <w:qFormat/>
    <w:rsid w:val="00B0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7861</Characters>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2021-12-08T16:00:00Z</dcterms:created>
  <dcterms:modified xsi:type="dcterms:W3CDTF">2024-12-17T12:30:00Z</dcterms:modified>
</cp:coreProperties>
</file>